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Land and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Land and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§122. LAND AND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