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2-A</w:t>
        <w:t xml:space="preserve">.  </w:t>
      </w:r>
      <w:r>
        <w:rPr>
          <w:b/>
        </w:rPr>
        <w:t xml:space="preserve">Foodways.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§2 (RP).]</w:t>
      </w:r>
    </w:p>
    <w:p>
      <w:pPr>
        <w:jc w:val="both"/>
        <w:spacing w:before="100" w:after="0"/>
        <w:ind w:start="360"/>
        <w:ind w:firstLine="360"/>
      </w:pPr>
      <w:r>
        <w:rPr>
          <w:b/>
        </w:rPr>
        <w:t>2-B</w:t>
        <w:t xml:space="preserve">.  </w:t>
      </w:r>
      <w:r>
        <w:rPr>
          <w:b/>
        </w:rPr>
        <w:t xml:space="preserve">Local food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§3 (RP); PL 2017, c. 314, §7 (AFF).]</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§7 (AMD). PL 2013, c. 405, Pt. A, §17 (AFF). PL 2017, c. 215, §1 (AMD). PL 2017, c. 314, §§2, 3 (AMD). PL 2017, c. 314,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