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Department of Agriculture, Conservation and Forestry</w:t>
      </w:r>
    </w:p>
    <w:p>
      <w:pPr>
        <w:jc w:val="both"/>
        <w:spacing w:before="100" w:after="100"/>
        <w:ind w:start="360"/>
        <w:ind w:firstLine="360"/>
      </w:pPr>
      <w:r>
        <w:rPr/>
      </w:r>
      <w:r>
        <w:rPr/>
      </w:r>
      <w:r>
        <w:t xml:space="preserve">The Department of Agriculture, Conservation and Forestry, is established and is maintained for the improvement of agriculture and the advancement of the interests of husbandry.  The Department of Agriculture, Conservation and Forestry is referred to in this Title as the "department" and consists of the Commissioner of Agriculture, Conservation and Forestry, in this Title called the "commissioner," and the following: the Board of Pesticide Control, the Maine Milk Commission, the Maine Potato Board, the Seed Potato Board, the Harness Racing Commission and the Board of Veterinary Medicine.  The commissioner is appointed by the Governor, subject to review by the joint standing committee of the Legislature having jurisdiction over agriculture matters and to confirmation by the Legislature, and holds office during the pleasure of the Governor.  The commissioner is entitled to receive actual expenses incurred in the performance of the commissioner's official duties. The commissioner may employ such clerical labor as may be required, subject to the Civil Service Law, and may expend such sums for postage, telephone, telegraph and other general office expenses as may be necessary in the performance of the commissioner's duties, the same to be paid out of any money appropriated by the Legislature for such purpose.</w:t>
      </w:r>
      <w:r>
        <w:t xml:space="preserve">  </w:t>
      </w:r>
      <w:r xmlns:wp="http://schemas.openxmlformats.org/drawingml/2010/wordprocessingDrawing" xmlns:w15="http://schemas.microsoft.com/office/word/2012/wordml">
        <w:rPr>
          <w:rFonts w:ascii="Arial" w:hAnsi="Arial" w:cs="Arial"/>
          <w:sz w:val="22"/>
          <w:szCs w:val="22"/>
        </w:rPr>
        <w:t xml:space="preserve">[PL 2009, c. 369, Pt. A, §20 (AMD); PL 2011, c. 657, Pt. W, §§5,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253, §§1-3 (AMD). PL 1965, c. 421, §§3,4 (AMD). PL 1967, c. 476, §13 (AMD). PL 1969, c. 504, §15 (AMD). PL 1971, c. 490, §§1,3 (AMD). PL 1971, c. 594, §1 (AMD). PL 1973, c. 95, §1 (AMD). PL 1973, c. 537, §5 (AMD). PL 1973, c. 788, §29 (AMD). PL 1975, c. 444, §1 (AMD). PL 1975, c. 477, §1 (AMD). PL 1975, c. 771, §96 (RPR). PL 1979, c. 731, §§2,3 (AMD). PL 1983, c. 308, §§1,14 (AMD). PL 1985, c. 785, §B42 (AMD). PL 1987, c. 435, §2 (AMD). PL 1991, c. 837, §A12 (AMD). PL 1995, c. 502, §C3 (AMD). PL 1995, c. 693, §3 (AMD). PL 2009, c. 369, Pt. A, §20 (AMD). PL 2011, c. 657, Pt. W, §§5,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 Department of Agriculture, Conservation and Forestry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Department of Agriculture, Conservation and Forestry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 DEPARTMENT OF AGRICULTURE, CONSERVATION AND FORESTRY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