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Cattle Health Assurance Program Fund</w:t>
      </w:r>
    </w:p>
    <w:p>
      <w:pPr>
        <w:jc w:val="both"/>
        <w:spacing w:before="100" w:after="100"/>
        <w:ind w:start="360"/>
        <w:ind w:firstLine="360"/>
      </w:pPr>
      <w:r>
        <w:rPr/>
      </w:r>
      <w:r>
        <w:rPr/>
      </w:r>
      <w:r>
        <w:t xml:space="preserve">The Treasurer of State shall establish a separate account known as the Cattle Health Assurance Program Fund.  This fund does not lapse but must be carried forward.  Funds from this account may be used to pay for administrative costs associated with </w:t>
      </w:r>
      <w:r>
        <w:t>section 1309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Cattle Health Assurance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Cattle Health Assurance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§1310. CATTLE HEALTH ASSURANCE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