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Penalties</w:t>
      </w:r>
    </w:p>
    <w:p>
      <w:pPr>
        <w:jc w:val="both"/>
        <w:spacing w:before="100" w:after="100"/>
        <w:ind w:start="360"/>
        <w:ind w:firstLine="360"/>
      </w:pPr>
      <w:r>
        <w:rPr/>
      </w:r>
      <w:r>
        <w:rPr/>
      </w:r>
      <w:r>
        <w:t xml:space="preserve">Unless a specific penalty has otherwise been provided, a person, firm, partnership or corporation that violates a provision of this Title or a rule adopted pursuant to this Title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§2 (RPR);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§54 (RPR). PL 2001, c. 421, §B2 (RPR).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