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Rules</w:t>
      </w:r>
    </w:p>
    <w:p>
      <w:pPr>
        <w:jc w:val="both"/>
        <w:spacing w:before="100" w:after="100"/>
        <w:ind w:start="360"/>
        <w:ind w:firstLine="360"/>
      </w:pPr>
      <w:r>
        <w:rPr/>
      </w:r>
      <w:r>
        <w:rPr/>
      </w:r>
      <w:r>
        <w:t xml:space="preserve">The commissioner shall adopt rules in accordance with the Maine Administrative Procedure Act to interpret and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§161.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