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Prosecution by district attorney</w:t>
      </w:r>
    </w:p>
    <w:p>
      <w:pPr>
        <w:jc w:val="both"/>
        <w:spacing w:before="100" w:after="100"/>
        <w:ind w:start="360"/>
        <w:ind w:firstLine="360"/>
      </w:pPr>
      <w:r>
        <w:rPr/>
      </w:r>
      <w:r>
        <w:rPr/>
      </w:r>
      <w:r>
        <w:t xml:space="preserve">The several district attorneys shall prosecute all violations of </w:t>
      </w:r>
      <w:r>
        <w:t>chapters 201</w:t>
      </w:r>
      <w:r>
        <w:t xml:space="preserve">, </w:t>
      </w:r>
      <w:r>
        <w:t>207</w:t>
      </w:r>
      <w:r>
        <w:t xml:space="preserve">, </w:t>
      </w:r>
      <w:r>
        <w:t>301</w:t>
      </w:r>
      <w:r>
        <w:t xml:space="preserve">, </w:t>
      </w:r>
      <w:r>
        <w:t>303</w:t>
      </w:r>
      <w:r>
        <w:t xml:space="preserve"> and </w:t>
      </w:r>
      <w:r>
        <w:t>305</w:t>
      </w:r>
      <w:r>
        <w:t xml:space="preserve"> which shall be brought to their notice or knowledge by any person making the complaint under oath. The District Court and the Superior Court shall have concurrent jurisdiction in all prosecutions under said chapters.</w:t>
      </w:r>
      <w:r>
        <w:t xml:space="preserve">  </w:t>
      </w:r>
      <w:r xmlns:wp="http://schemas.openxmlformats.org/drawingml/2010/wordprocessingDrawing" xmlns:w15="http://schemas.microsoft.com/office/word/2012/wordml">
        <w:rPr>
          <w:rFonts w:ascii="Arial" w:hAnsi="Arial" w:cs="Arial"/>
          <w:sz w:val="22"/>
          <w:szCs w:val="22"/>
        </w:rPr>
        <w:t xml:space="preserve">[PL 1977, c. 78,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Prosecution by district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Prosecution by district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§1703. PROSECUTION BY DISTRICT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