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1812-A</w:t>
        <w:t xml:space="preserve">.  </w:t>
      </w:r>
      <w:r>
        <w:rPr>
          <w:b/>
        </w:rPr>
        <w:t xml:space="preserve">Brucellosis in swine</w:t>
      </w:r>
    </w:p>
    <w:p>
      <w:pPr>
        <w:jc w:val="both"/>
        <w:spacing w:before="100" w:after="100"/>
        <w:ind w:start="360"/>
        <w:ind w:firstLine="360"/>
      </w:pPr>
      <w:r>
        <w:rPr/>
      </w:r>
      <w:r>
        <w:rPr/>
      </w:r>
      <w:r>
        <w:t xml:space="preserve">The commissioner shall, in a manner consistent with the Maine Administrative Procedure Act, formulate and implement rules for the prevention, control and eradication of brucellosis in swine.  Where infection has been found, all swine must be quarantined to the premises until all swine in the infected herd are in compliance with rules or may be slaughtered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182 (NEW). PL 1977, c. 694, §128 (AMD). PL 2001, c. 572, §43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§1812-A. Brucellosis in swine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§1812-A. Brucellosis in swine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§1812-A. BRUCELLOSIS IN SWINE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