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Records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§2155. RECORDS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