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Permit and registration</w:t>
      </w:r>
    </w:p>
    <w:p>
      <w:pPr>
        <w:jc w:val="both"/>
        <w:spacing w:before="100" w:after="100"/>
        <w:ind w:start="360"/>
        <w:ind w:firstLine="360"/>
      </w:pPr>
      <w:r>
        <w:rPr/>
      </w:r>
      <w:r>
        <w:rPr/>
      </w:r>
      <w:r>
        <w:t xml:space="preserve">A person who cultivates ginseng for sale must be licensed by the department and shall pay an annual fee of $10.  A person who buys ginseng for resale shall register annually with the department as a ginseng dealer and pay an annual fee of $25.  The commissioner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PL 1997, c. 454,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§2222. Permit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Permit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§2222. PERMIT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