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2324</w:t>
        <w:t xml:space="preserve">.  </w:t>
      </w:r>
      <w:r>
        <w:rPr>
          <w:b/>
        </w:rPr>
        <w:t xml:space="preserve">Bylaws filed</w:t>
      </w:r>
    </w:p>
    <w:p>
      <w:pPr>
        <w:jc w:val="both"/>
        <w:spacing w:before="100" w:after="100"/>
        <w:ind w:start="360"/>
        <w:ind w:firstLine="360"/>
      </w:pPr>
      <w:r>
        <w:rPr/>
      </w:r>
      <w:r>
        <w:rPr/>
      </w:r>
      <w:r>
        <w:t xml:space="preserve">Pursuant to </w:t>
      </w:r>
      <w:r>
        <w:t>section 2315, subsection 8</w:t>
      </w:r>
      <w:r>
        <w:t xml:space="preserve">, copies of bylaws and amendments thereto must be filed with the Commissioner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2005, c. 147, §1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§2324. Bylaws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§2324. Bylaws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§2324. BYLAWS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