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2327</w:t>
        <w:t xml:space="preserve">.  </w:t>
      </w:r>
      <w:r>
        <w:rPr>
          <w:b/>
        </w:rPr>
        <w:t xml:space="preserve">Appropriations</w:t>
      </w:r>
    </w:p>
    <w:p>
      <w:pPr>
        <w:jc w:val="both"/>
        <w:spacing w:before="100" w:after="100"/>
        <w:ind w:start="360"/>
        <w:ind w:firstLine="360"/>
      </w:pPr>
      <w:r>
        <w:rPr/>
      </w:r>
      <w:r>
        <w:rPr/>
      </w:r>
      <w:r>
        <w:t xml:space="preserve">The department, agency or officer expending or becoming liable for an expenditure on behalf of a control or eradication program undertaken or intensified pursuant to the compact must have credited to the appropriate account in the State Treasury the amount or amounts of any payments made to this State to defray the cost of that program or any part thereof, or as reimbursement thereof.</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§2327.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§2327.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§2327.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