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2872</w:t>
        <w:t xml:space="preserve">.  </w:t>
      </w:r>
      <w:r>
        <w:rPr>
          <w:b/>
        </w:rPr>
        <w:t xml:space="preserve">Violations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commits a civil violation if that person violates:</w:t>
      </w:r>
    </w:p>
    <w:p>
      <w:pPr>
        <w:jc w:val="both"/>
        <w:spacing w:before="100" w:after="0"/>
        <w:ind w:start="720"/>
      </w:pPr>
      <w:r>
        <w:rPr/>
        <w:t>A</w:t>
        <w:t xml:space="preserve">.  </w:t>
      </w:r>
      <w:r>
        <w:rPr/>
      </w:r>
      <w:r>
        <w:t>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B</w:t>
        <w:t xml:space="preserve">.  </w:t>
      </w:r>
      <w:r>
        <w:rPr/>
      </w:r>
      <w:r>
        <w:t>Chapter 523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C</w:t>
        <w:t xml:space="preserve">.  </w:t>
      </w:r>
      <w:r>
        <w:rPr/>
      </w:r>
      <w:r>
        <w:t>Chapter 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$1 and not more than $50 may be adjudged for each colony in violation of </w:t>
      </w:r>
      <w:r>
        <w:t>chapter 521</w:t>
      </w:r>
      <w:r>
        <w:t xml:space="preserve">, </w:t>
      </w:r>
      <w:r>
        <w:t>523</w:t>
      </w:r>
      <w:r>
        <w:t xml:space="preserve"> or </w:t>
      </w:r>
      <w:r>
        <w:t>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2003, c. 452, §B17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§2872.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§2872.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§2872.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