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§2959. Injunctions and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Injunctions and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§2959. INJUNCTIONS AND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