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§2985. Cost of milk to a retail store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Cost of milk to a retail store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§2985. COST OF MILK TO A RETAIL STORE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