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3945</w:t>
        <w:t xml:space="preserve">.  </w:t>
      </w:r>
      <w:r>
        <w:rPr>
          <w:b/>
        </w:rPr>
        <w:t xml:space="preserve">Use of license fees and court fines retained by municipalities</w:t>
      </w:r>
    </w:p>
    <w:p>
      <w:pPr>
        <w:jc w:val="both"/>
        <w:spacing w:before="100" w:after="100"/>
        <w:ind w:start="360"/>
        <w:ind w:firstLine="360"/>
      </w:pPr>
      <w:r>
        <w:rPr/>
      </w:r>
      <w:r>
        <w:rPr/>
      </w:r>
      <w:r>
        <w:t xml:space="preserve">Except for the $1 recording fee pursuant to </w:t>
      </w:r>
      <w:r>
        <w:t>section 3942</w:t>
      </w:r>
      <w:r>
        <w:t xml:space="preserve"> retained by the municipal clerk, all fees and court fines retained by municipalities must be kept in a separate account and must be used for the salaries and costs of animal control, enforcement of licensing laws, care of stray animals that are injured or abandoned and the support of one or more approved animal shelters.  Any money not expended for these purposes in a municipality's fiscal year does not lapse, but must be carried over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2001, c. 617,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657, §39 (AMD). PL 1995, c. 490, §14 (AMD). PL 2001, c. 617,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§3945. Use of license fees and court fines retained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§3945. Use of license fees and court fines retained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§3945. USE OF LICENSE FEES AND COURT FINES RETAINED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