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Killing for assault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Killing for assault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§3951. KILLING FOR ASSAULT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