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Rights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§4157. RIGHTS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