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4162</w:t>
        <w:t xml:space="preserve">.  </w:t>
      </w:r>
      <w:r>
        <w:rPr>
          <w:b/>
        </w:rPr>
        <w:t xml:space="preserve">Additional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fails to meet a requirement of this chapter commits a civil violation for which a fine of not less than $50 or more than $500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2</w:t>
        <w:t xml:space="preserve">.  </w:t>
      </w:r>
      <w:r>
        <w:rPr>
          <w:b/>
        </w:rPr>
        <w:t xml:space="preserve">Action against pet shops and breeding kennels.</w:t>
        <w:t xml:space="preserve"> </w:t>
      </w:r>
      <w:r>
        <w:t xml:space="preserve"> </w:t>
      </w:r>
      <w:r>
        <w:t xml:space="preserve">The department may, in accordance with </w:t>
      </w:r>
      <w:r>
        <w:t>Title 5, chapter 375, subchapter 5</w:t>
      </w:r>
      <w:r>
        <w:t xml:space="preserve">, revoke or suspend the license of a pet shop or breeding kennel that violates any provision of this chapter or rules adopted under </w:t>
      </w:r>
      <w:r>
        <w:t>section 3906‑B, subsection 10</w:t>
      </w:r>
      <w:r>
        <w:t xml:space="preserve"> to implement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3</w:t>
        <w:t xml:space="preserve">.  </w:t>
      </w:r>
      <w:r>
        <w:rPr>
          <w:b/>
        </w:rPr>
        <w:t xml:space="preserve">Action against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§55 (RPR). PL 1999, c. 547, §B78 (AMD). PL 1999, c. 547, §B80 (AFF). PL 2009, c. 343,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§4162. Additional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§4162. Additional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§4162. ADDITIONAL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