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Title</w:t>
      </w:r>
    </w:p>
    <w:p>
      <w:pPr>
        <w:jc w:val="both"/>
        <w:spacing w:before="100" w:after="100"/>
        <w:ind w:start="360"/>
        <w:ind w:firstLine="360"/>
      </w:pPr>
      <w:r>
        <w:rPr/>
      </w:r>
      <w:r>
        <w:rPr/>
      </w:r>
      <w:r>
        <w:t xml:space="preserve">This subchapter shall be known and may be cited as the "Maine Agricultural Commodities Marketing Act."</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