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§443-B. Certification trademark for Maine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§443-B. CERTIFICATION TRADEMARK FOR MAINE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