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Labeling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Labeling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§507. LABELING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