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Exception</w:t>
      </w:r>
    </w:p>
    <w:p>
      <w:pPr>
        <w:jc w:val="both"/>
        <w:spacing w:before="100" w:after="100"/>
        <w:ind w:start="360"/>
        <w:ind w:firstLine="360"/>
      </w:pPr>
      <w:r>
        <w:rPr/>
      </w:r>
      <w:r>
        <w:rPr/>
      </w:r>
      <w:r>
        <w:t xml:space="preserve">No person shall be prosecuted for violation of any provision of this subchapter if such person has been acquitted or convicted under the Federal Hazardous Substances Labeling Act of the same act or omission which, it is alleged, constitutes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§513.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§513.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