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Net quantity of contents</w:t>
      </w:r>
    </w:p>
    <w:p>
      <w:pPr>
        <w:jc w:val="both"/>
        <w:spacing w:before="100" w:after="100"/>
        <w:ind w:start="360"/>
        <w:ind w:firstLine="360"/>
      </w:pPr>
      <w:r>
        <w:rPr/>
      </w:r>
      <w:r>
        <w:rPr/>
      </w:r>
      <w:r>
        <w:t xml:space="preserve">The net quantity of contents shall appear in conspicuous and easily legible type in distinct contrast, by topography, layout, color, embossing or molding, with other matter on the package. The letters or numerals used shall be in type size which shall be established in relationship to the area of the principal display panel of the package and uniform for all packages of substantially the same size. The lines of printed matter included in that statement shall be placed generally parallel to the base on which the package rests as it is designed to be displayed.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 Net quantity of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Net quantity of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§525. NET QUANTITY OF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