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§562-B. IDENTIFICATION OF SOURCE OF WATER SOLD IN CONTAINERS AND INTENDED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