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w:t>
        <w:t xml:space="preserve">.  </w:t>
      </w:r>
      <w:r>
        <w:rPr>
          <w:b/>
        </w:rPr>
        <w:t xml:space="preserve">Enforcement</w:t>
      </w:r>
    </w:p>
    <w:p>
      <w:pPr>
        <w:jc w:val="both"/>
        <w:spacing w:before="100" w:after="100"/>
        <w:ind w:start="360"/>
        <w:ind w:firstLine="360"/>
      </w:pPr>
      <w:r>
        <w:rPr/>
      </w:r>
      <w:r>
        <w:rPr/>
      </w:r>
      <w:r>
        <w:t xml:space="preserve">The commissioner shall administer </w:t>
      </w:r>
      <w:r>
        <w:t>sections 631</w:t>
      </w:r>
      <w:r>
        <w:t xml:space="preserve"> to </w:t>
      </w:r>
      <w:r>
        <w:t>643</w:t>
      </w:r>
      <w:r>
        <w:t xml:space="preserve"> and may adopt, in a manner consistent with the Maine Administrative Procedure Act, uniform rules for such administration. The commissioner may recover the fines imposed for violations of </w:t>
      </w:r>
      <w:r>
        <w:t>sections 631</w:t>
      </w:r>
      <w:r>
        <w:t xml:space="preserve"> to </w:t>
      </w:r>
      <w:r>
        <w:t>643</w:t>
      </w:r>
      <w:r>
        <w:t xml:space="preserve"> in a civil action brought in the commissioner's name, with the venue to be as in other civil actions, and if prevailing in that action, the commissioner shall recover full costs.</w:t>
      </w:r>
      <w:r>
        <w:t xml:space="preserve">  </w:t>
      </w:r>
      <w:r xmlns:wp="http://schemas.openxmlformats.org/drawingml/2010/wordprocessingDrawing" xmlns:w15="http://schemas.microsoft.com/office/word/2012/wordml">
        <w:rPr>
          <w:rFonts w:ascii="Arial" w:hAnsi="Arial" w:cs="Arial"/>
          <w:sz w:val="22"/>
          <w:szCs w:val="22"/>
        </w:rPr>
        <w:t xml:space="preserve">[PL 2005, c. 512,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§68 (AMD). PL 1977, c. 696, §66 (AMD). PL 2005, c. 512,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§637.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§637.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