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Stipend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Stipend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§86. STIPEND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