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RIDER SAFETY</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29. RIDER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