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1032-A</w:t>
        <w:t xml:space="preserve">.  </w:t>
      </w:r>
      <w:r>
        <w:rPr>
          <w:b/>
        </w:rPr>
        <w:t xml:space="preserve">Promotional credit calculation</w:t>
      </w:r>
    </w:p>
    <w:p>
      <w:pPr>
        <w:jc w:val="both"/>
        <w:spacing w:before="100" w:after="100"/>
        <w:ind w:start="360"/>
        <w:ind w:firstLine="360"/>
      </w:pPr>
      <w:r>
        <w:rPr/>
      </w:r>
      <w:r>
        <w:rPr/>
      </w:r>
      <w:r>
        <w:t xml:space="preserve">Cash prizes, winnings or credits that are received as a result of redeeming promotional credits and are used to play a slot machine are considered gross slot machine income for the purposes of allocation under </w:t>
      </w:r>
      <w:r>
        <w:t>section 1036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266,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§1032-A. Promotional credit calculation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§1032-A. Promotional credit calculation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§1032-A. PROMOTIONAL CREDIT CALCULATION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