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Payment of credits by slot machine or casino operator</w:t>
      </w:r>
    </w:p>
    <w:p>
      <w:pPr>
        <w:jc w:val="both"/>
        <w:spacing w:before="100" w:after="100"/>
        <w:ind w:start="360"/>
        <w:ind w:firstLine="360"/>
      </w:pPr>
      <w:r>
        <w:rPr/>
      </w:r>
      <w:r>
        <w:rPr/>
      </w:r>
      <w:r>
        <w:t xml:space="preserve">A slot machine operator or casino operator shall redeem credits for players who earn credits on a slot machine or table game located on the premises of that slot machine facility or casino in accordance with rules adopted by the board.  A slot machine operator or casino operator may not redeem a credit slip more than 365 days from the date of issuance.  The funds reserved for the payment of such a credit slip or expired unclaimed jackpot must be retained by the slot machine operator or casino operator and treated as gross slot machine income or gross table game income and do not constitute property subject to the requirements of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§10 (AMD). IB 2009, c. 2, §40 (AMD). PL 2019, c. 498,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Payment of credits by slot machine or casino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Payment of credits by slot machine or casino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§1032. PAYMENT OF CREDITS BY SLOT MACHINE OR CASINO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