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§1033. UNIFORM LOCATION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