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Disclosure of other contracts and agreements</w:t>
      </w:r>
    </w:p>
    <w:p>
      <w:pPr>
        <w:jc w:val="both"/>
        <w:spacing w:before="100" w:after="100"/>
        <w:ind w:start="360"/>
        <w:ind w:firstLine="360"/>
      </w:pPr>
      <w:r>
        <w:rPr/>
      </w:r>
      <w:r>
        <w:rPr/>
      </w:r>
      <w:r>
        <w:t xml:space="preserve">A slot machine operator or casino operator must submit to the board all contracts or agreements the slot machine operator or casino operator establishes with a slot machine distributor, table game distributor, licensed gambling services vendor or key executive.</w:t>
      </w:r>
      <w:r>
        <w:t xml:space="preserve">  </w:t>
      </w:r>
      <w:r xmlns:wp="http://schemas.openxmlformats.org/drawingml/2010/wordprocessingDrawing" xmlns:w15="http://schemas.microsoft.com/office/word/2012/wordml">
        <w:rPr>
          <w:rFonts w:ascii="Arial" w:hAnsi="Arial" w:cs="Arial"/>
          <w:sz w:val="22"/>
          <w:szCs w:val="22"/>
        </w:rPr>
        <w:t xml:space="preserve">[IB 2009, c. 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§1034. Disclosure of other contracts and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Disclosure of other contracts and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§1034. DISCLOSURE OF OTHER CONTRACTS AND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