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1035-A</w:t>
        <w:t xml:space="preserve">.  </w:t>
      </w:r>
      <w:r>
        <w:rPr>
          <w:b/>
        </w:rPr>
        <w:t xml:space="preserve">Location of table games</w:t>
      </w:r>
    </w:p>
    <w:p>
      <w:pPr>
        <w:jc w:val="both"/>
        <w:spacing w:before="100" w:after="100"/>
        <w:ind w:start="360"/>
        <w:ind w:firstLine="360"/>
      </w:pPr>
      <w:r>
        <w:rPr/>
      </w:r>
      <w:r>
        <w:rPr/>
      </w:r>
      <w:r>
        <w:t xml:space="preserve">Table games may be located only on the premises of a casino or the premises of an accredited postsecondary institution for the purposes of training and education under </w:t>
      </w:r>
      <w:r>
        <w:t>section 1011,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§44 (NEW). PL 2011, c. 585,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§1035-A. Location of table games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§1035-A. Location of table games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§1035-A. LOCATION OF TABLE GAMES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