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Allocation of funds</w:t>
      </w:r>
    </w:p>
    <w:p>
      <w:pPr>
        <w:jc w:val="both"/>
        <w:spacing w:before="100" w:after="0"/>
        <w:ind w:start="360"/>
        <w:ind w:firstLine="360"/>
      </w:pPr>
      <w:r>
        <w:rPr>
          <w:b/>
        </w:rPr>
        <w:t>1</w:t>
        <w:t xml:space="preserve">.  </w:t>
      </w:r>
      <w:r>
        <w:rPr>
          <w:b/>
        </w:rPr>
        <w:t xml:space="preserve">Distribution for administrative expenses of board.</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1% of gross slot machine income to the Treasurer of State for deposit in the General Fund for the administrative expenses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§7 (AMD).]</w:t>
      </w:r>
    </w:p>
    <w:p>
      <w:pPr>
        <w:jc w:val="both"/>
        <w:spacing w:before="100" w:after="100"/>
        <w:ind w:start="360"/>
        <w:ind w:firstLine="360"/>
      </w:pPr>
      <w:r>
        <w:rPr>
          <w:b/>
        </w:rPr>
        <w:t>2</w:t>
        <w:t xml:space="preserve">.  </w:t>
      </w:r>
      <w:r>
        <w:rPr>
          <w:b/>
        </w:rPr>
        <w:t xml:space="preserve">Distribution of net slot machine income from casino with commercial track.</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39% of the net slot machine income from slot machines operated by the slot machine operator to the board for distribution by the board as follows:</w:t>
      </w:r>
    </w:p>
    <w:p>
      <w:pPr>
        <w:jc w:val="both"/>
        <w:spacing w:before="100" w:after="0"/>
        <w:ind w:start="720"/>
      </w:pPr>
      <w:r>
        <w:rPr/>
        <w:t>A</w:t>
        <w:t xml:space="preserve">.  </w:t>
      </w:r>
      <w:r>
        <w:rPr/>
      </w:r>
      <w:r>
        <w:t xml:space="preserve">Three percent of the net slot machine income must be deposited to the General Fund for administrative expenses of the board in accordance with rules adopted by the board, except that of the amount calculated pursuant to this paragraph, the following amounts must be transferred annually to the Gambling Addiction Prevention and Treatment Fund established by </w:t>
      </w:r>
      <w:r>
        <w:t>Title 5, section 20006‑B</w:t>
      </w:r>
      <w:r>
        <w:t xml:space="preserve">:</w:t>
      </w:r>
    </w:p>
    <w:p>
      <w:pPr>
        <w:jc w:val="both"/>
        <w:spacing w:before="100" w:after="0"/>
        <w:ind w:start="1080"/>
      </w:pPr>
      <w:r>
        <w:rPr/>
        <w:t>(</w:t>
        <w:t>1</w:t>
        <w:t xml:space="preserve">)  </w:t>
      </w:r>
      <w:r>
        <w:rPr/>
      </w:r>
      <w:r>
        <w:t xml:space="preserve">For the fiscal year beginning July 1, 2011, $50,000;</w:t>
      </w:r>
    </w:p>
    <w:p>
      <w:pPr>
        <w:jc w:val="both"/>
        <w:spacing w:before="100" w:after="0"/>
        <w:ind w:start="1080"/>
      </w:pPr>
      <w:r>
        <w:rPr/>
        <w:t>(</w:t>
        <w:t>2</w:t>
        <w:t xml:space="preserve">)  </w:t>
      </w:r>
      <w:r>
        <w:rPr/>
      </w:r>
      <w:r>
        <w:t xml:space="preserve">For the fiscal year beginning July 1, 2012, $50,000; and</w:t>
      </w:r>
    </w:p>
    <w:p>
      <w:pPr>
        <w:jc w:val="both"/>
        <w:spacing w:before="100" w:after="0"/>
        <w:ind w:start="1080"/>
      </w:pPr>
      <w:r>
        <w:rPr/>
        <w:t>(</w:t>
        <w:t>3</w:t>
        <w:t xml:space="preserve">)  </w:t>
      </w:r>
      <w:r>
        <w:rPr/>
      </w:r>
      <w:r>
        <w:t xml:space="preserve">For the fiscal year beginning July 1, 2013 and for each fiscal year thereafter, $100,000;</w:t>
      </w:r>
      <w:r>
        <w:t xml:space="preserve">  </w:t>
      </w:r>
      <w:r xmlns:wp="http://schemas.openxmlformats.org/drawingml/2010/wordprocessingDrawing" xmlns:w15="http://schemas.microsoft.com/office/word/2012/wordml">
        <w:rPr>
          <w:rFonts w:ascii="Arial" w:hAnsi="Arial" w:cs="Arial"/>
          <w:sz w:val="22"/>
          <w:szCs w:val="22"/>
        </w:rPr>
        <w:t xml:space="preserve">[PL 2009, c. 622, §2 (AMD).]</w:t>
      </w:r>
    </w:p>
    <w:p>
      <w:pPr>
        <w:jc w:val="both"/>
        <w:spacing w:before="100" w:after="0"/>
        <w:ind w:start="720"/>
      </w:pPr>
      <w:r>
        <w:rPr/>
        <w:t>B</w:t>
        <w:t xml:space="preserve">.  </w:t>
      </w:r>
      <w:r>
        <w:rPr/>
      </w:r>
      <w:r>
        <w:t xml:space="preserve">Ten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C</w:t>
        <w:t xml:space="preserve">.  </w:t>
      </w:r>
      <w:r>
        <w:rPr/>
      </w:r>
      <w:r>
        <w:t xml:space="preserve">Three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D</w:t>
        <w:t xml:space="preserve">.  </w:t>
      </w:r>
      <w:r>
        <w:rPr/>
      </w:r>
      <w:r>
        <w:t xml:space="preserve">Three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§29 (RPR).]</w:t>
      </w:r>
    </w:p>
    <w:p>
      <w:pPr>
        <w:jc w:val="both"/>
        <w:spacing w:before="100" w:after="0"/>
        <w:ind w:start="720"/>
      </w:pPr>
      <w:r>
        <w:rPr/>
        <w:t>E</w:t>
        <w:t xml:space="preserve">.  </w:t>
      </w:r>
      <w:r>
        <w:rPr/>
      </w:r>
      <w:r>
        <w:t xml:space="preserve">Ten percent of the net slot machine income must be forwarded by the board to the State Controller and except as otherwise provided in this paragraph credited to the Fund for a Healthy Maine established by </w:t>
      </w:r>
      <w:r>
        <w:t>Title 22, section 1511</w:t>
      </w:r>
      <w:r>
        <w:t xml:space="preserve"> and segregated into a separate account under </w:t>
      </w:r>
      <w:r>
        <w:t>Title 22, section 1511, subsection 11</w:t>
      </w:r>
      <w:r>
        <w:t xml:space="preserve">, with the use of funds in the account restricted to the purposes described in </w:t>
      </w:r>
      <w:r>
        <w:t>Title 22, section 1511, subsection 6, paragraph E</w:t>
      </w:r>
      <w:r>
        <w:t xml:space="preserve">.  For the fiscal years ending June 30, 2010, June 30, 2011 and June 30, 2012, the amount credited annually by the State Controller to the Fund for a Healthy Maine under this paragraph may not exceed $4,500,000 annually and any funds in excess of $4,500,000 annually during these fiscal years must be credited as General Fund undedicated revenue, and, for the fiscal year ending June 30, 2013, the amount credited by the State Controller to the Fund for a Healthy Maine under this paragraph is $0;</w:t>
      </w:r>
      <w:r>
        <w:t xml:space="preserve">  </w:t>
      </w:r>
      <w:r xmlns:wp="http://schemas.openxmlformats.org/drawingml/2010/wordprocessingDrawing" xmlns:w15="http://schemas.microsoft.com/office/word/2012/wordml">
        <w:rPr>
          <w:rFonts w:ascii="Arial" w:hAnsi="Arial" w:cs="Arial"/>
          <w:sz w:val="22"/>
          <w:szCs w:val="22"/>
        </w:rPr>
        <w:t xml:space="preserve">[PL 2011, c. 657, Pt. E, §1 (AMD).]</w:t>
      </w:r>
    </w:p>
    <w:p>
      <w:pPr>
        <w:jc w:val="both"/>
        <w:spacing w:before="100" w:after="0"/>
        <w:ind w:start="720"/>
      </w:pPr>
      <w:r>
        <w:rPr/>
        <w:t>F</w:t>
        <w:t xml:space="preserve">.  </w:t>
      </w:r>
      <w:r>
        <w:rPr/>
      </w:r>
      <w:r>
        <w:t xml:space="preserve">Two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§1 (AMD).]</w:t>
      </w:r>
    </w:p>
    <w:p>
      <w:pPr>
        <w:jc w:val="both"/>
        <w:spacing w:before="100" w:after="0"/>
        <w:ind w:start="720"/>
      </w:pPr>
      <w:r>
        <w:rPr/>
        <w:t>G</w:t>
        <w:t xml:space="preserve">.  </w:t>
      </w:r>
      <w:r>
        <w:rPr/>
      </w:r>
      <w:r>
        <w:t xml:space="preserve">One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H</w:t>
        <w:t xml:space="preserve">.  </w:t>
      </w:r>
      <w:r>
        <w:rPr/>
      </w:r>
      <w:r>
        <w:t xml:space="preserve">Four percent of the net slot machine income must be forwarded by the board to the Treasurer of State, who shall credit the money to the Fund to Encourage Racing at Maine's Commercial Tracks, established in </w:t>
      </w:r>
      <w:r>
        <w:t>section 299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§4 (AMD).]</w:t>
      </w:r>
    </w:p>
    <w:p>
      <w:pPr>
        <w:jc w:val="both"/>
        <w:spacing w:before="100" w:after="0"/>
        <w:ind w:start="720"/>
      </w:pPr>
      <w:r>
        <w:rPr/>
        <w:t>I</w:t>
        <w:t xml:space="preserve">.  </w:t>
      </w:r>
      <w:r>
        <w:rPr/>
      </w:r>
      <w:r>
        <w:t xml:space="preserve">Two percent of the net slot machine income must be forwarded by the board to the Treasurer of State, who shall credit the money to the Fund to Stabilize Off-track Betting Facilities established by </w:t>
      </w:r>
      <w:r>
        <w:t>section 300</w:t>
      </w:r>
      <w:r>
        <w:t xml:space="preserve">, as long as a facility has conducted off-track wagering operations for a minimum of 250 days during the preceding 12-month period in which the first payment to the fund is required.  After 48 months of receiving an allocation of the net slot machine income from a licensed operator, the percent of net slot machine income forwarded to the Fund to Stabilize Off-track Betting Facilities is reduced to 1% with the remaining 1% to be forwarded to the State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J</w:t>
        <w:t xml:space="preserve">.  </w:t>
      </w:r>
      <w:r>
        <w:rPr/>
      </w:r>
      <w:r>
        <w:t xml:space="preserve">One percent of the net slot machine income must be forwarded directly to the municipality in which the slot machines are located.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§4 (AMD).]</w:t>
      </w:r>
    </w:p>
    <w:p>
      <w:pPr>
        <w:jc w:val="both"/>
        <w:spacing w:before="100" w:after="100"/>
        <w:ind w:start="360"/>
        <w:ind w:firstLine="360"/>
      </w:pPr>
      <w:r>
        <w:rPr>
          <w:b/>
        </w:rPr>
        <w:t>2-A</w:t>
        <w:t xml:space="preserve">.  </w:t>
      </w:r>
      <w:r>
        <w:rPr>
          <w:b/>
        </w:rPr>
        <w:t xml:space="preserve">Distribution from casino of slot machine income.</w:t>
        <w:t xml:space="preserve"> </w:t>
      </w:r>
      <w:r>
        <w:t xml:space="preserve"> </w:t>
      </w:r>
      <w:r>
        <w:t xml:space="preserve">A casino operator shall collect and distribute 46% of the net slot machine income from slot machines operated by the casino operator to the board for distribution by the board as follows:</w:t>
      </w:r>
    </w:p>
    <w:p>
      <w:pPr>
        <w:jc w:val="both"/>
        <w:spacing w:before="100" w:after="0"/>
        <w:ind w:start="720"/>
      </w:pPr>
      <w:r>
        <w:rPr/>
        <w:t>A</w:t>
        <w:t xml:space="preserve">.  </w:t>
      </w:r>
      <w:r>
        <w:rPr/>
      </w:r>
      <w:r>
        <w:t xml:space="preserve">Twenty-five percent of the net slot machine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§1 (AMD).]</w:t>
      </w:r>
    </w:p>
    <w:p>
      <w:pPr>
        <w:jc w:val="both"/>
        <w:spacing w:before="100" w:after="0"/>
        <w:ind w:start="720"/>
      </w:pPr>
      <w:r>
        <w:rPr/>
        <w:t>B</w:t>
        <w:t xml:space="preserve">.  </w:t>
      </w:r>
      <w:r>
        <w:rPr/>
      </w:r>
      <w:r>
        <w:t xml:space="preserve">Four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§2 (AMD).]</w:t>
      </w:r>
    </w:p>
    <w:p>
      <w:pPr>
        <w:jc w:val="both"/>
        <w:spacing w:before="100" w:after="0"/>
        <w:ind w:start="720"/>
      </w:pPr>
      <w:r>
        <w:rPr/>
        <w:t>C</w:t>
        <w:t xml:space="preserve">.  </w:t>
      </w:r>
      <w:r>
        <w:rPr/>
      </w:r>
      <w:r>
        <w:t xml:space="preserve">Three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D</w:t>
        <w:t xml:space="preserve">.  </w:t>
      </w:r>
      <w:r>
        <w:rPr/>
      </w:r>
      <w:r>
        <w:t xml:space="preserve">Four percent of the net slot machine income must be forwarded by the board to the Treasurer of State, who shall distribute the funds to the tribal governments of the Penobscot Nation and the Passamaquoddy Tribe;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E</w:t>
        <w:t xml:space="preserve">.  </w:t>
      </w:r>
      <w:r>
        <w:rPr/>
      </w:r>
      <w:r>
        <w:t xml:space="preserve">Three percent of the net slot machine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F</w:t>
        <w:t xml:space="preserve">.  </w:t>
      </w:r>
      <w:r>
        <w:rPr/>
      </w:r>
      <w:r>
        <w:t xml:space="preserve">Two percent of the net slot machine income must be forwarded directly to the municipality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G</w:t>
        <w:t xml:space="preserve">.  </w:t>
      </w:r>
      <w:r>
        <w:rPr/>
      </w:r>
      <w:r>
        <w:t xml:space="preserve">One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H</w:t>
        <w:t xml:space="preserve">.  </w:t>
      </w:r>
      <w:r>
        <w:rPr/>
      </w:r>
      <w:r>
        <w:t xml:space="preserve">One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I</w:t>
        <w:t xml:space="preserve">.  </w:t>
      </w:r>
      <w:r>
        <w:rPr/>
      </w:r>
      <w:r>
        <w:t xml:space="preserve">One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J</w:t>
        <w:t xml:space="preserve">.  </w:t>
      </w:r>
      <w:r>
        <w:rPr/>
      </w:r>
      <w:r>
        <w:t xml:space="preserve">One percent of the net slot machine income must be forwarded directly to the county in which the casino is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[PL 2011, c. 625,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625, §3 (AMD); PL 2011, c. 657, Pt. W, §5 (REV); MRSA T. 8 §1036, sub2A, ¶K (RP).]</w:t>
      </w:r>
    </w:p>
    <w:p>
      <w:pPr>
        <w:jc w:val="both"/>
        <w:spacing w:before="100" w:after="0"/>
        <w:ind w:start="720"/>
      </w:pPr>
      <w:r>
        <w:rPr/>
        <w:t>L</w:t>
        <w:t xml:space="preserve">.  </w:t>
      </w:r>
      <w:r>
        <w:rPr/>
      </w:r>
      <w:r>
        <w:t xml:space="preserve">Beginning July 1, 2013, 1/2 of 1% of the net slot machine income must be forwarded by the board to the Treasurer of State, who shall credit the money to the Maine Milk Pool, Other Special Revenue Funds account within the Department of Agriculture, Conservation and Forestry to help fund dairy farm stabilization pursuant to </w:t>
      </w:r>
      <w:r>
        <w:t>Title 7, sections 3153‑B</w:t>
      </w:r>
      <w:r>
        <w:t xml:space="preserve"> and </w:t>
      </w:r>
      <w:r>
        <w:t>3153‑D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625, §4 (NEW); PL 2011, c. 657, Pt. W, §5 (REV).]</w:t>
      </w:r>
    </w:p>
    <w:p>
      <w:pPr>
        <w:jc w:val="both"/>
        <w:spacing w:before="100" w:after="0"/>
        <w:ind w:start="720"/>
      </w:pPr>
      <w:r>
        <w:rPr/>
        <w:t>M</w:t>
        <w:t xml:space="preserve">.  </w:t>
      </w:r>
      <w:r>
        <w:rPr/>
      </w:r>
      <w:r>
        <w:t xml:space="preserve">Beginning July 1, 2013, 1/2 of 1% of the net slot machine income must be forwarded by the board to the Treasurer of State, who shall credit the money to the Dairy Improvement Fund established under </w:t>
      </w:r>
      <w:r>
        <w:t>Title 10, section 1023‑P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§4 (NEW).]</w:t>
      </w:r>
    </w:p>
    <w:p>
      <w:pPr>
        <w:jc w:val="both"/>
        <w:spacing w:before="100" w:after="0"/>
        <w:ind w:start="360"/>
      </w:pPr>
      <w:r>
        <w:rPr/>
      </w:r>
      <w:r>
        <w:rPr/>
      </w:r>
      <w:r>
        <w:t xml:space="preserve">If a recipient of net slot machine income in </w:t>
      </w:r>
      <w:r>
        <w:t>paragraph D</w:t>
      </w:r>
      <w:r>
        <w:t xml:space="preserve">, </w:t>
      </w:r>
      <w:r>
        <w:t>H</w:t>
      </w:r>
      <w:r>
        <w:t xml:space="preserve"> or </w:t>
      </w:r>
      <w:r>
        <w:t>I</w:t>
      </w:r>
      <w:r>
        <w:t xml:space="preserve"> owns or receives funds from a slot machine facility or casino, other than the casino in Oxford County or the slot machine facility in Bangor, then the recipient may not receive funds under this subsection, and those funds must be retained by the Oxford County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 (AMD).]</w:t>
      </w:r>
    </w:p>
    <w:p>
      <w:pPr>
        <w:jc w:val="both"/>
        <w:spacing w:before="100" w:after="100"/>
        <w:ind w:start="360"/>
        <w:ind w:firstLine="360"/>
      </w:pPr>
      <w:r>
        <w:rPr>
          <w:b/>
        </w:rPr>
        <w:t>2-B</w:t>
        <w:t xml:space="preserve">.  </w:t>
      </w:r>
      <w:r>
        <w:rPr>
          <w:b/>
        </w:rPr>
        <w:t xml:space="preserve">Distribution from casino of table game income.</w:t>
        <w:t xml:space="preserve"> </w:t>
      </w:r>
      <w:r>
        <w:t xml:space="preserve"> </w:t>
      </w:r>
      <w:r>
        <w:t xml:space="preserve">A casino operator licensed in accordance with </w:t>
      </w:r>
      <w:r>
        <w:t>section 1011, subsection 2‑A, paragraph A</w:t>
      </w:r>
      <w:r>
        <w:t xml:space="preserve">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Ten percent of the net table game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§2 (AMD).]</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§9 (AMD).]</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w:pPr>
        <w:jc w:val="both"/>
        <w:spacing w:before="100" w:after="0"/>
        <w:ind w:start="720"/>
      </w:pPr>
      <w:r>
        <w:rPr/>
        <w:t>D</w:t>
        <w:t xml:space="preserve">.  </w:t>
      </w:r>
      <w:r>
        <w:rPr/>
      </w:r>
      <w:r>
        <w:t xml:space="preserve">One percent of the net table game income must be forwarded directly to the county in which the table games are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 (AMD).]</w:t>
      </w:r>
    </w:p>
    <w:p>
      <w:pPr>
        <w:jc w:val="both"/>
        <w:spacing w:before="100" w:after="100"/>
        <w:ind w:start="360"/>
        <w:ind w:firstLine="360"/>
      </w:pPr>
      <w:r>
        <w:rPr>
          <w:b/>
        </w:rPr>
        <w:t>2-C</w:t>
        <w:t xml:space="preserve">.  </w:t>
      </w:r>
      <w:r>
        <w:rPr>
          <w:b/>
        </w:rPr>
        <w:t xml:space="preserve">Distribution of table game income from casino with a commercial track.</w:t>
        <w:t xml:space="preserve"> </w:t>
      </w:r>
      <w:r>
        <w:t xml:space="preserve"> </w:t>
      </w:r>
      <w:r>
        <w:t xml:space="preserve">A casino operator that is a commercial track and was licensed to operate slot machines on January 1, 2011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Nine percent of the net table game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D</w:t>
        <w:t xml:space="preserve">.  </w:t>
      </w:r>
      <w:r>
        <w:rPr/>
      </w:r>
      <w:r>
        <w:t xml:space="preserve">Two percent of net table game income must be deposited into the Coordinated Veterans Assistance Fund established in </w:t>
      </w:r>
      <w:r>
        <w:t>Title 37‑B, section 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§1 (AMD).]</w:t>
      </w:r>
    </w:p>
    <w:p>
      <w:pPr>
        <w:jc w:val="both"/>
        <w:spacing w:before="100" w:after="0"/>
        <w:ind w:start="360"/>
        <w:ind w:firstLine="360"/>
      </w:pPr>
      <w:r>
        <w:rPr>
          <w:b/>
        </w:rPr>
        <w:t>3</w:t>
        <w:t xml:space="preserve">.  </w:t>
      </w:r>
      <w:r>
        <w:rPr>
          <w:b/>
        </w:rPr>
        <w:t xml:space="preserve">Failure to deposit funds.</w:t>
        <w:t xml:space="preserve"> </w:t>
      </w:r>
      <w:r>
        <w:t xml:space="preserve"> </w:t>
      </w:r>
      <w:r>
        <w:t xml:space="preserve">A slot machine operator or casino operator who knowingly or intentionally fails to comply with this section commits a Class C crime. In addition to any other sanction available by law, the license of the operator may be revoked by the board and the slot machines or table games operated by that slot machine operator or casino operator may be disabled, and the slot machines or table games, slot machines' or table games' proceeds and associated equipment may be confiscated by the board and are subject to forfeiture under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§47 (AMD).]</w:t>
      </w:r>
    </w:p>
    <w:p>
      <w:pPr>
        <w:jc w:val="both"/>
        <w:spacing w:before="100" w:after="0"/>
        <w:ind w:start="360"/>
        <w:ind w:firstLine="360"/>
      </w:pPr>
      <w:r>
        <w:rPr>
          <w:b/>
        </w:rPr>
        <w:t>4</w:t>
        <w:t xml:space="preserve">.  </w:t>
      </w:r>
      <w:r>
        <w:rPr>
          <w:b/>
        </w:rPr>
        <w:t xml:space="preserve">Late payments.</w:t>
        <w:t xml:space="preserve"> </w:t>
      </w:r>
      <w:r>
        <w:t xml:space="preserve"> </w:t>
      </w:r>
      <w:r>
        <w:t xml:space="preserve">The board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Annual report on use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109, §1 (AMD). PL 2005, c. 563, §10 (AMD). PL 2005, c. 663, §§11,12 (AMD). PL 2007, c. 466, Pt. A, §29 (AMD). PL 2009, c. 462, Pt. H, §1 (AMD). PL 2009, c. 571, Pt. FFF, §1 (AMD). PL 2009, c. 622, §2 (AMD). IB 2009, c. 2, §§45-47 (AMD). PL 2011, c. 358, §§4, 5 (AMD). PL 2011, c. 380, Pt. II, §1 (AMD). PL 2011, c. 417, §§7-10 (AMD). PL 2011, c. 477, Pt. DD, §1 (AMD). PL 2011, c. 625, §§3, 4 (AMD). PL 2011, c. 657, Pt. E, §1 (AMD). PL 2011, c. 657, Pt. W, §5 (REV). PL 2013, c. 118, §§1, 2 (AMD). PL 2013, c. 128, §1 (AMD). PL 2015, c. 493, §4 (AMD). PL 2017, c. 284,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§1036.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§1036.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