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Organization</w:t>
      </w:r>
    </w:p>
    <w:p>
      <w:pPr>
        <w:jc w:val="both"/>
        <w:spacing w:before="100" w:after="100"/>
        <w:ind w:start="360"/>
        <w:ind w:firstLine="360"/>
      </w:pPr>
      <w:r>
        <w:rPr/>
      </w:r>
      <w:r>
        <w:rPr/>
      </w:r>
      <w:r>
        <w:t xml:space="preserve">Three of the members of the commission constitute a quorum to do business.  The commission shall meet as necessary to accomplish the purposes of this chapter and shall keep a record of all proceedings of the commission and preserve all books, maps, documents, papers and records entrusted to its care.</w:t>
      </w:r>
      <w:r>
        <w:t xml:space="preserve">  </w:t>
      </w:r>
      <w:r xmlns:wp="http://schemas.openxmlformats.org/drawingml/2010/wordprocessingDrawing" xmlns:w15="http://schemas.microsoft.com/office/word/2012/wordml">
        <w:rPr>
          <w:rFonts w:ascii="Arial" w:hAnsi="Arial" w:cs="Arial"/>
          <w:sz w:val="22"/>
          <w:szCs w:val="22"/>
        </w:rPr>
        <w:t xml:space="preserve">[PL 2017,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§14 (AMD). PL 1973, c. 537, §§5-A (AMD). PL 1979, c. 731, §19 (AMD). PL 1983, c. 834, §2 (AMD). PL 1991, c. 579, §5 (AMD). PL 2017,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