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 Budget;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Budget;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§267. BUDGET;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