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 Supervision;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Supervision;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 SUPERVISION;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