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A. Standardbred horses eligibl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A. Standardbred horses eligibl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A. STANDARDBRED HORSES ELIGIBL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