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Fund to Stabilize Off-track Betting Facilities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Stabilize Off-track Betting Facilities is established to provide revenues to those off-track betting facilities licensed and in operation in the State.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586, §1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all amounts credited to the fund established by this section as of the last day of the preceding month and not distributed before that day must be distributed to each of the State's off-track betting facilities licensed and in operation as of the date of the distribution.  Distributions must be made in equal amounts to each off-track betting facility in operation as of the date of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§12 (AMD). PL 2007, c. 539, Pt. G, §15 (AFF). PL 2023, c. 586,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 Fund to Stabilize Off-track Betting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Fund to Stabilize Off-track Betting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§300. FUND TO STABILIZE OFF-TRACK BETTING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