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11-122</w:t>
        <w:t xml:space="preserve">.  </w:t>
      </w:r>
      <w:r>
        <w:rPr>
          <w:b/>
        </w:rPr>
        <w:t xml:space="preserve">Privacy of consumer financial information</w:t>
      </w:r>
    </w:p>
    <w:p>
      <w:pPr>
        <w:jc w:val="both"/>
        <w:spacing w:before="100" w:after="100"/>
        <w:ind w:start="360"/>
        <w:ind w:firstLine="360"/>
      </w:pPr>
      <w:r>
        <w:rPr/>
      </w:r>
      <w:r>
        <w:rPr/>
      </w:r>
      <w:r>
        <w:t xml:space="preserve">A merchant who enters into a rental-purchase agreement with a consumer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if the merchant is a financial institution as defined in those regulations. This section is not intended to permit the release of health care information except as permitted by </w:t>
      </w:r>
      <w:r>
        <w:t>Title 22, section 1711‑C</w:t>
      </w:r>
      <w:r>
        <w:t xml:space="preserve"> or </w:t>
      </w:r>
      <w:r>
        <w:t>Title 24‑A, chapter 24</w:t>
      </w:r>
      <w:r>
        <w:t xml:space="preserve">.  This section does not apply to a supervised financial organization.</w:t>
      </w:r>
      <w:r>
        <w:t xml:space="preserve">  </w:t>
      </w:r>
      <w:r xmlns:wp="http://schemas.openxmlformats.org/drawingml/2010/wordprocessingDrawing" xmlns:w15="http://schemas.microsoft.com/office/word/2012/wordml">
        <w:rPr>
          <w:rFonts w:ascii="Arial" w:hAnsi="Arial" w:cs="Arial"/>
          <w:sz w:val="22"/>
          <w:szCs w:val="22"/>
        </w:rPr>
        <w:t xml:space="preserve">[PL 2001, c. 262,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§11-122. Privacy of consumer financial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§11-122. Privacy of consumer financial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§11-122. PRIVACY OF CONSUMER FINANCIAL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