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§12-104. REQUIREMENTS FOR LEGAL FUNDING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