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§14-109. Superintendent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§14-109. Superintendent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§14-109. SUPERINTENDENT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