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14-111</w:t>
        <w:t xml:space="preserve">.  </w:t>
      </w:r>
      <w:r>
        <w:rPr>
          <w:b/>
        </w:rPr>
        <w:t xml:space="preserve">Funding</w:t>
      </w:r>
    </w:p>
    <w:p>
      <w:pPr>
        <w:jc w:val="both"/>
        <w:spacing w:before="100" w:after="100"/>
        <w:ind w:start="360"/>
        <w:ind w:firstLine="360"/>
      </w:pPr>
      <w:r>
        <w:rPr/>
      </w:r>
      <w:r>
        <w:rPr/>
      </w:r>
      <w:r>
        <w:t xml:space="preserve">The superintendent shall internally track any license, examination and investigation fees collected pursuant to this Article and any funds received from any public or private source.  The superintendent shall use these funds to cover the costs of carrying out the duties of this Article, and funds received may not be used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§14-111.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§14-111.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§14-111.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