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§16-108. PROHIBITION ON ACCELERATION OF PRIVATE EDUCATION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