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Maximum charge by creditor for insurance</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if a creditor contracts for or receives a separate charge for insurance, the amount charged to the consumer for the insurance may not exceed the premium to be charged by the insurer, as computed at the time the charge to the consumer is determined, conforming to any rate filings required by law and made by the insurer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creditor who provides consumer credit insurance in relation to open end credit may calculate the charge to the consumer in each billing cycle by applying the current premium rate to the unpaid balance of debt in the same manner as is permitted with respect to finance charges by the provisions on finance charges for consumer credit sales pursuant to open end credit, </w:t>
      </w:r>
      <w:r>
        <w:t>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2021, c. 676,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§4-107. Maximum charge by creditor for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Maximum charge by creditor for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§4-107. MAXIMUM CHARGE BY CREDITOR FOR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