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Administrative action of Superintendent of Insurance</w:t>
      </w:r>
    </w:p>
    <w:p>
      <w:pPr>
        <w:jc w:val="both"/>
        <w:spacing w:before="100" w:after="0"/>
        <w:ind w:start="360"/>
        <w:ind w:firstLine="360"/>
      </w:pPr>
      <w:r>
        <w:rPr>
          <w:b/>
        </w:rPr>
        <w:t>1</w:t>
        <w:t xml:space="preserve">.  </w:t>
      </w:r>
      <w:r>
        <w:rPr>
          <w:b/>
        </w:rPr>
      </w:r>
      <w:r>
        <w:t xml:space="preserve"> </w:t>
      </w:r>
      <w:r>
        <w:t xml:space="preserve">To the extent of required responsibility under </w:t>
      </w:r>
      <w:r>
        <w:t>Parts 1</w:t>
      </w:r>
      <w:r>
        <w:t xml:space="preserve">, </w:t>
      </w:r>
      <w:r>
        <w:t>2</w:t>
      </w:r>
      <w:r>
        <w:t xml:space="preserve"> and </w:t>
      </w:r>
      <w:r>
        <w:t>3</w:t>
      </w:r>
      <w:r>
        <w:t xml:space="preserve"> of this Article, the Superintendent of Insurance shall issue rules with respect to insurers, and with respect to refunds, </w:t>
      </w:r>
      <w:r>
        <w:t>section 4‑108</w:t>
      </w:r>
      <w:r>
        <w:t xml:space="preserve">, forms, schedules of premium rates and charges, </w:t>
      </w:r>
      <w:r>
        <w:t>section 4‑203</w:t>
      </w:r>
      <w:r>
        <w:t xml:space="preserve">, and the Superintendent of Insurance's approval or disapproval thereof and, in case of violation, may make an order for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§A39 (AMD). PL 1997, c. 315,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§4-112. Administrative action of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Administrative action of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§4-112. ADMINISTRATIVE ACTION OF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