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Extortionate extensions of credit</w:t>
      </w:r>
    </w:p>
    <w:p>
      <w:pPr>
        <w:jc w:val="both"/>
        <w:spacing w:before="100" w:after="0"/>
        <w:ind w:start="360"/>
        <w:ind w:firstLine="360"/>
      </w:pPr>
      <w:r>
        <w:rPr>
          <w:b/>
        </w:rPr>
        <w:t>1</w:t>
        <w:t xml:space="preserve">.  </w:t>
      </w:r>
      <w:r>
        <w:rPr>
          <w:b/>
        </w:rPr>
      </w:r>
      <w:r>
        <w:t xml:space="preserve"> </w:t>
      </w:r>
      <w:r>
        <w:t xml:space="preserve">If it is the understanding of the creditor and the consumer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shown that an extension of credit was made at an annual rate exceeding 33% calculated according to the actuarial method and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 Extortionate extensions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Extortionate extensions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§5-107. EXTORTIONATE EXTENSIONS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