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Administration</w:t>
      </w:r>
    </w:p>
    <w:p>
      <w:pPr>
        <w:jc w:val="both"/>
        <w:spacing w:before="100" w:after="100"/>
        <w:ind w:start="360"/>
        <w:ind w:firstLine="360"/>
      </w:pPr>
      <w:r>
        <w:rPr/>
      </w:r>
      <w:r>
        <w:rPr/>
      </w:r>
      <w:r>
        <w:t xml:space="preserve">There is created and established the Bureau of Consumer Credit Protection within the Department of Professional and Financial Regulation.  The Superintendent of Consumer Credit Protection is the head of the Bureau of Consumer Credit Protection.  As used in this Act, and except as provided in </w:t>
      </w:r>
      <w:r>
        <w:t>section 1‑301, subsection 2</w:t>
      </w:r>
      <w:r>
        <w:t xml:space="preserve">, "administrator" means the Superintendent of Consumer Credit Protection.  The administrator is appointed by the Governor and subject to review by the joint standing committee of the Legislature having jurisdiction over insurance and financial services matters and to confirmation by the Legislature.  The administrator is appointed for a 5-year term, or until a successor is appointed and qualified.  Any vacancy occurring must be filled by appointment for the unexpired portion of the term.  The administrator may be removed from office for cause by the Governor and </w:t>
      </w:r>
      <w:r>
        <w:t>Title 5, section 931, subsection 2</w:t>
      </w:r>
      <w:r>
        <w:t xml:space="preserve"> does not apply.</w:t>
      </w:r>
      <w:r>
        <w:t xml:space="preserve">  </w:t>
      </w:r>
      <w:r xmlns:wp="http://schemas.openxmlformats.org/drawingml/2010/wordprocessingDrawing" xmlns:w15="http://schemas.microsoft.com/office/word/2012/wordml">
        <w:rPr>
          <w:rFonts w:ascii="Arial" w:hAnsi="Arial" w:cs="Arial"/>
          <w:sz w:val="22"/>
          <w:szCs w:val="22"/>
        </w:rPr>
        <w:t xml:space="preserve">[PL 2007, c. 273, Pt. B, §3 (RPR);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771, §109 (AMD). PL 1981, c. 359, §3 (AMD). PL 1981, c. 501, §26 (AMD). PL 1983, c. 553, §§9,46 (AMD). PL 1985, c. 763, §A48 (AMD). PL 1987, c. 105, §1 (AMD). PL 1987, c. 402, §A84 (AMD). PL 1987, c. 769, §A39 (RPR). PL 1989, c. 702, §E5 (AMD). PL 1995, c. 309, §6 (AMD). PL 1995, c. 309, §29 (AFF). PL 1995, c. 502, §H2 (AMD). PL 2007, c. 273, Pt. B, §3 (RPR). PL 2007, c. 273, Pt. B, §7 (AFF). PL 2007, c. 695, Pt. A, §47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§6-103.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