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6-115</w:t>
        <w:t xml:space="preserve">.  </w:t>
      </w:r>
      <w:r>
        <w:rPr>
          <w:b/>
        </w:rPr>
        <w:t xml:space="preserve">Venue</w:t>
      </w:r>
    </w:p>
    <w:p>
      <w:pPr>
        <w:jc w:val="both"/>
        <w:spacing w:before="100" w:after="100"/>
        <w:ind w:start="360"/>
        <w:ind w:firstLine="360"/>
      </w:pPr>
      <w:r>
        <w:rPr/>
      </w:r>
      <w:r>
        <w:rPr/>
      </w:r>
      <w:r>
        <w:t xml:space="preserve">The administrator, through the Attorney General, may bring actions or proceedings in a court in a county or division in which an act on which the action or proceeding is based occurred or in a county or division in which respondent resides or transacts business.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§6-115.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§6-115.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§6-115.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