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§8-511. RECURRING CHARGES TO CREDIT CARD OR CHARGE CARD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